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40A6" w:rsidRDefault="005C323F">
      <w:pPr>
        <w:spacing w:after="241" w:line="240" w:lineRule="auto"/>
        <w:jc w:val="right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 nr 12/2019 </w:t>
      </w:r>
    </w:p>
    <w:p w:rsidR="007440A6" w:rsidRDefault="005C323F">
      <w:pPr>
        <w:spacing w:after="29" w:line="240" w:lineRule="auto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7440A6" w:rsidRDefault="005C323F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>
        <w:rPr>
          <w:rFonts w:ascii="Corbel" w:eastAsia="Corbel" w:hAnsi="Corbel" w:cs="Corbel"/>
          <w:i/>
          <w:sz w:val="19"/>
        </w:rPr>
        <w:t xml:space="preserve"> </w:t>
      </w:r>
      <w:r w:rsidRPr="006D25F9">
        <w:rPr>
          <w:rFonts w:ascii="Corbel" w:eastAsia="Corbel" w:hAnsi="Corbel" w:cs="Corbel"/>
          <w:b/>
          <w:i/>
          <w:sz w:val="24"/>
        </w:rPr>
        <w:t>20</w:t>
      </w:r>
      <w:r w:rsidR="00F34FE4">
        <w:rPr>
          <w:rFonts w:ascii="Corbel" w:eastAsia="Corbel" w:hAnsi="Corbel" w:cs="Corbel"/>
          <w:b/>
          <w:i/>
          <w:sz w:val="24"/>
        </w:rPr>
        <w:t>19</w:t>
      </w:r>
      <w:r w:rsidRPr="006D25F9">
        <w:rPr>
          <w:rFonts w:ascii="Corbel" w:eastAsia="Corbel" w:hAnsi="Corbel" w:cs="Corbel"/>
          <w:b/>
          <w:i/>
          <w:sz w:val="24"/>
        </w:rPr>
        <w:t>-202</w:t>
      </w:r>
      <w:r w:rsidR="00F34FE4">
        <w:rPr>
          <w:rFonts w:ascii="Corbel" w:eastAsia="Corbel" w:hAnsi="Corbel" w:cs="Corbel"/>
          <w:b/>
          <w:i/>
          <w:sz w:val="24"/>
        </w:rPr>
        <w:t>1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 w:rsidR="00643023">
        <w:rPr>
          <w:rFonts w:ascii="Corbel" w:eastAsia="Corbel" w:hAnsi="Corbel" w:cs="Corbel"/>
          <w:i/>
          <w:sz w:val="24"/>
        </w:rPr>
        <w:t xml:space="preserve">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7440A6" w:rsidRPr="006D25F9" w:rsidRDefault="005C323F">
      <w:pPr>
        <w:spacing w:after="32" w:line="240" w:lineRule="auto"/>
        <w:ind w:left="-5" w:right="-15" w:hanging="10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Pr="006D25F9">
        <w:rPr>
          <w:rFonts w:ascii="Corbel" w:eastAsia="Corbel" w:hAnsi="Corbel" w:cs="Corbel"/>
          <w:b/>
          <w:sz w:val="20"/>
        </w:rPr>
        <w:t>Rok akademicki   20</w:t>
      </w:r>
      <w:r w:rsidR="00F34FE4">
        <w:rPr>
          <w:rFonts w:ascii="Corbel" w:eastAsia="Corbel" w:hAnsi="Corbel" w:cs="Corbel"/>
          <w:b/>
          <w:sz w:val="20"/>
        </w:rPr>
        <w:t>19</w:t>
      </w:r>
      <w:r w:rsidRPr="006D25F9">
        <w:rPr>
          <w:rFonts w:ascii="Corbel" w:eastAsia="Corbel" w:hAnsi="Corbel" w:cs="Corbel"/>
          <w:b/>
          <w:sz w:val="20"/>
        </w:rPr>
        <w:t>/20</w:t>
      </w:r>
      <w:r w:rsidR="00F34FE4">
        <w:rPr>
          <w:rFonts w:ascii="Corbel" w:eastAsia="Corbel" w:hAnsi="Corbel" w:cs="Corbel"/>
          <w:b/>
          <w:sz w:val="20"/>
        </w:rPr>
        <w:t>20</w:t>
      </w:r>
      <w:r w:rsidRPr="006D25F9">
        <w:rPr>
          <w:rFonts w:ascii="Corbel" w:eastAsia="Corbel" w:hAnsi="Corbel" w:cs="Corbel"/>
          <w:b/>
          <w:sz w:val="20"/>
        </w:rPr>
        <w:t xml:space="preserve">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4"/>
        <w:gridCol w:w="7088"/>
      </w:tblGrid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Filozofia i etyka polityki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MK5 </w:t>
            </w:r>
          </w:p>
        </w:tc>
      </w:tr>
      <w:tr w:rsidR="007440A6">
        <w:trPr>
          <w:trHeight w:val="49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7440A6">
        <w:trPr>
          <w:trHeight w:val="59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D04D28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Poziom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II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Rok i semestr/y studiów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6D25F9" w:rsidRDefault="005C323F">
            <w:pPr>
              <w:ind w:left="2"/>
              <w:rPr>
                <w:b/>
              </w:rPr>
            </w:pPr>
            <w:r w:rsidRPr="006D25F9">
              <w:rPr>
                <w:rFonts w:ascii="Corbel" w:eastAsia="Corbel" w:hAnsi="Corbel" w:cs="Corbel"/>
                <w:b/>
                <w:sz w:val="24"/>
              </w:rPr>
              <w:t xml:space="preserve">rok I, semestr 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7440A6">
        <w:trPr>
          <w:trHeight w:val="30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7440A6">
        <w:trPr>
          <w:trHeight w:val="30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  <w:tr w:rsidR="007440A6">
        <w:trPr>
          <w:trHeight w:val="3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Imię i nazwisko osoby 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7440A6" w:rsidRDefault="007440A6"/>
        </w:tc>
      </w:tr>
      <w:tr w:rsidR="007440A6">
        <w:trPr>
          <w:trHeight w:val="566"/>
        </w:trPr>
        <w:tc>
          <w:tcPr>
            <w:tcW w:w="2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prowadzącej / osób prowadzących </w:t>
            </w:r>
          </w:p>
        </w:tc>
        <w:tc>
          <w:tcPr>
            <w:tcW w:w="708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Katarzyna M. Cwynar </w:t>
            </w:r>
          </w:p>
        </w:tc>
      </w:tr>
    </w:tbl>
    <w:p w:rsidR="007440A6" w:rsidRDefault="005C323F">
      <w:pPr>
        <w:spacing w:after="321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294"/>
      </w:pPr>
      <w:r>
        <w:t xml:space="preserve">1.1.Formy zajęć dydaktycznych, wymiar godzin i punktów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right w:w="62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8"/>
        <w:gridCol w:w="852"/>
        <w:gridCol w:w="799"/>
        <w:gridCol w:w="821"/>
        <w:gridCol w:w="763"/>
        <w:gridCol w:w="948"/>
        <w:gridCol w:w="1191"/>
        <w:gridCol w:w="1505"/>
      </w:tblGrid>
      <w:tr w:rsidR="007440A6" w:rsidTr="007D7142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spacing w:line="240" w:lineRule="auto"/>
              <w:ind w:left="3"/>
              <w:jc w:val="center"/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96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Konw.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4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48"/>
              <w:jc w:val="center"/>
            </w:pPr>
            <w:r>
              <w:rPr>
                <w:rFonts w:ascii="Corbel" w:eastAsia="Corbel" w:hAnsi="Corbel" w:cs="Corbel"/>
                <w:sz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ind w:left="70"/>
              <w:jc w:val="center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7440A6" w:rsidTr="007D7142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I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20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 w:rsidP="007D7142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15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7440A6" w:rsidP="007D7142">
            <w:pPr>
              <w:jc w:val="center"/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Pr="00C23C57" w:rsidRDefault="005C323F" w:rsidP="007D7142">
            <w:pPr>
              <w:jc w:val="center"/>
              <w:rPr>
                <w:b/>
              </w:rPr>
            </w:pPr>
            <w:r w:rsidRPr="00C23C57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6D25F9" w:rsidRDefault="005C323F" w:rsidP="006D25F9">
      <w:pPr>
        <w:spacing w:after="43" w:line="245" w:lineRule="auto"/>
        <w:ind w:left="708" w:right="5794" w:hanging="3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 </w:t>
      </w:r>
    </w:p>
    <w:p w:rsidR="007440A6" w:rsidRDefault="006D25F9" w:rsidP="006D25F9">
      <w:pPr>
        <w:spacing w:after="43" w:line="245" w:lineRule="auto"/>
        <w:ind w:right="2"/>
      </w:pPr>
      <w:r w:rsidRPr="006D25F9">
        <w:rPr>
          <w:rFonts w:ascii="MS Gothic" w:eastAsia="MS Gothic" w:hAnsi="MS Gothic" w:cs="MS Gothic"/>
          <w:b/>
          <w:sz w:val="24"/>
        </w:rPr>
        <w:t>x</w:t>
      </w:r>
      <w:r w:rsidR="00EB3EFF">
        <w:rPr>
          <w:rFonts w:ascii="Corbel" w:eastAsia="Corbel" w:hAnsi="Corbel" w:cs="Corbel"/>
          <w:sz w:val="24"/>
        </w:rPr>
        <w:t xml:space="preserve">  </w:t>
      </w:r>
      <w:r w:rsidR="005C323F">
        <w:rPr>
          <w:rFonts w:ascii="Corbel" w:eastAsia="Corbel" w:hAnsi="Corbel" w:cs="Corbel"/>
          <w:sz w:val="24"/>
        </w:rPr>
        <w:t xml:space="preserve">zajęcia w formie tradycyjnej  </w:t>
      </w:r>
    </w:p>
    <w:p w:rsidR="007440A6" w:rsidRDefault="007D7142" w:rsidP="006D25F9">
      <w:pPr>
        <w:spacing w:after="44" w:line="240" w:lineRule="auto"/>
      </w:pPr>
      <w:r w:rsidRPr="007D7142">
        <w:rPr>
          <w:rFonts w:ascii="MS Gothic" w:eastAsia="MS Gothic" w:hAnsi="MS Gothic" w:cs="MS Gothic"/>
          <w:b/>
          <w:sz w:val="24"/>
        </w:rPr>
        <w:t>x</w:t>
      </w:r>
      <w:r w:rsidR="005C323F"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3" w:line="245" w:lineRule="auto"/>
        <w:ind w:firstLine="284"/>
      </w:pPr>
      <w:r>
        <w:rPr>
          <w:rFonts w:ascii="Corbel" w:eastAsia="Corbel" w:hAnsi="Corbel" w:cs="Corbel"/>
          <w:b/>
          <w:sz w:val="24"/>
        </w:rPr>
        <w:t xml:space="preserve">1.3  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sz w:val="24"/>
        </w:rPr>
        <w:t xml:space="preserve">egzamin, zaliczenie z oceną </w:t>
      </w:r>
    </w:p>
    <w:p w:rsidR="007440A6" w:rsidRDefault="005C323F">
      <w:pPr>
        <w:spacing w:after="6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9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lastRenderedPageBreak/>
        <w:t xml:space="preserve">znajomość historii powszechnej, znajomość form ustrojów społeczno-politycznych </w:t>
      </w:r>
    </w:p>
    <w:p w:rsidR="007440A6" w:rsidRDefault="005C323F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17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3.</w:t>
      </w:r>
      <w:r>
        <w:rPr>
          <w:rFonts w:ascii="Corbel" w:eastAsia="Corbel" w:hAnsi="Corbel" w:cs="Corbel"/>
          <w:b/>
          <w:sz w:val="19"/>
        </w:rPr>
        <w:t xml:space="preserve"> 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3.1 Cele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93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42"/>
        <w:gridCol w:w="8680"/>
      </w:tblGrid>
      <w:tr w:rsidR="007440A6">
        <w:trPr>
          <w:trHeight w:val="382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zrozumienie przez studenta powiązań między filozofią i etyką a praktyką polityczną </w:t>
            </w:r>
          </w:p>
        </w:tc>
      </w:tr>
      <w:tr w:rsidR="007440A6">
        <w:trPr>
          <w:trHeight w:val="677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dostrzeganie przez studenta problemów społeczno-politycznych i próba ich racjonalizacji </w:t>
            </w:r>
          </w:p>
        </w:tc>
      </w:tr>
      <w:tr w:rsidR="007440A6">
        <w:trPr>
          <w:trHeight w:val="384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wyrobienie umiejętności problematyzacji rzeczywistości społeczno-politycznej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3.2 Efekty uczenia się dla przedmiotu</w:t>
      </w:r>
      <w:r>
        <w:rPr>
          <w:b w:val="0"/>
        </w:rPr>
        <w:t xml:space="preserve">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80"/>
        <w:gridCol w:w="5977"/>
        <w:gridCol w:w="1865"/>
      </w:tblGrid>
      <w:tr w:rsidR="007440A6">
        <w:trPr>
          <w:trHeight w:val="88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sz w:val="24"/>
                <w:vertAlign w:val="superscript"/>
              </w:rPr>
              <w:footnoteReference w:id="1"/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7440A6">
        <w:trPr>
          <w:trHeight w:val="596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ma wiedzę o miejscu i znaczeniu filozofii w relacji do nauk oraz o specyfice przedmiotowej i metodologicznej filozofii</w:t>
            </w:r>
            <w:r>
              <w:rPr>
                <w:rFonts w:ascii="Corbel" w:eastAsia="Corbel" w:hAnsi="Corbel" w:cs="Corbel"/>
                <w:b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K_Wo1 </w:t>
            </w:r>
          </w:p>
        </w:tc>
      </w:tr>
      <w:tr w:rsidR="007440A6">
        <w:trPr>
          <w:trHeight w:val="598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o roli filozofii w kształtowaniu rzeczywistości kulturowej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ma wiedzę na temat kształtowania się nurtów myśli politycznej 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K_W11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wyjaśniać przyczynowość zjawisk społecznych w relacji do idei filozoficznych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7440A6">
        <w:trPr>
          <w:trHeight w:val="890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potrafi rekonstruować argumentacje wybranych stanowisk filozoficznych i podejmować próbę rozstrzygania problemów społeczno-politycznych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K_U07 </w:t>
            </w:r>
          </w:p>
        </w:tc>
      </w:tr>
      <w:tr w:rsidR="007440A6">
        <w:trPr>
          <w:trHeight w:val="595"/>
        </w:trPr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5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charakteryzuje się krytyczną i otwartą postawą wobec kształtowania rzeczywistości społeczno-politycznej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right="298"/>
            </w:pPr>
            <w:r>
              <w:rPr>
                <w:rFonts w:ascii="Corbel" w:eastAsia="Corbel" w:hAnsi="Corbel" w:cs="Corbel"/>
                <w:sz w:val="24"/>
              </w:rPr>
              <w:t xml:space="preserve">K_Ko1 K_Ko5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3.3 Treści programowe </w:t>
      </w:r>
      <w:r>
        <w:rPr>
          <w:b w:val="0"/>
        </w:rPr>
        <w:t xml:space="preserve">  </w:t>
      </w:r>
      <w: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7440A6" w:rsidRDefault="005C323F">
      <w:pPr>
        <w:spacing w:after="8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racjonalizacja rzeczywistości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Etyka jako dział filozofii praktycznej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jako przedmiot refleksji filozoficznej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lastRenderedPageBreak/>
              <w:t xml:space="preserve">Wzajemne oddziaływanie filozofii i polityki a kształtowanie rzeczywistości kulturowej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Idee etyczne starożytności a rozumienie świata i praktyka polityczna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praktyczna średniowiecza a etyka i polityka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Nowożytne pojmowanie polityki a moralność i praktyka polityczna 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Współczesność a problem moralności i uzasadniania działań politycznych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Idea rozumu politycznego i odpowiedzialności jako normy moralności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numPr>
          <w:ilvl w:val="0"/>
          <w:numId w:val="1"/>
        </w:numPr>
        <w:spacing w:after="43" w:line="245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7440A6" w:rsidRDefault="005C323F">
      <w:pPr>
        <w:spacing w:after="5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522"/>
      </w:tblGrid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Znaczenie i wzajemne relacje między filozofią, etyką a polityką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Filozofia jako projekcja polityki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Jednostka a państwo w refleksji filozoficznej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Wartości polityczne i ich wymiar kulturowy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Systemy polityczne i właściwe im wartości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Polityka a moralność i prawo </w:t>
            </w:r>
          </w:p>
        </w:tc>
      </w:tr>
      <w:tr w:rsidR="007440A6">
        <w:tc>
          <w:tcPr>
            <w:tcW w:w="9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Działania polityczne a problem odpowiedzialności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>3.4 Metody dydaktyczne</w:t>
      </w:r>
      <w:r>
        <w:rPr>
          <w:b w:val="0"/>
        </w:rPr>
        <w:t xml:space="preserve">  </w:t>
      </w:r>
    </w:p>
    <w:p w:rsidR="007440A6" w:rsidRDefault="005C323F">
      <w:pPr>
        <w:spacing w:after="34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2" w:line="240" w:lineRule="auto"/>
        <w:ind w:left="-5" w:right="-15" w:hanging="10"/>
      </w:pPr>
      <w:r>
        <w:rPr>
          <w:rFonts w:ascii="Corbel" w:eastAsia="Corbel" w:hAnsi="Corbel" w:cs="Corbel"/>
          <w:sz w:val="20"/>
        </w:rPr>
        <w:t>Np</w:t>
      </w:r>
      <w:r>
        <w:rPr>
          <w:rFonts w:ascii="Corbel" w:eastAsia="Corbel" w:hAnsi="Corbel" w:cs="Corbel"/>
          <w:b/>
          <w:sz w:val="20"/>
        </w:rPr>
        <w:t>.:</w:t>
      </w:r>
      <w:r>
        <w:rPr>
          <w:rFonts w:ascii="Corbel" w:eastAsia="Corbel" w:hAnsi="Corbel" w:cs="Corbel"/>
          <w:b/>
          <w:sz w:val="16"/>
        </w:rPr>
        <w:t xml:space="preserve"> </w:t>
      </w:r>
      <w:r>
        <w:rPr>
          <w:rFonts w:ascii="Corbel" w:eastAsia="Corbel" w:hAnsi="Corbel" w:cs="Corbel"/>
          <w:b/>
          <w:sz w:val="20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16"/>
        </w:rPr>
        <w:t xml:space="preserve"> </w:t>
      </w:r>
      <w:r>
        <w:rPr>
          <w:rFonts w:ascii="Corbel" w:eastAsia="Corbel" w:hAnsi="Corbel" w:cs="Corbel"/>
          <w:i/>
          <w:sz w:val="20"/>
        </w:rPr>
        <w:t xml:space="preserve">Wykład: wykład problemowy, wykład z prezentacją multimedialną,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Ćwiczenia: analiza tekstów z dyskusją, metoda projektów (projekt badawczy, wdrożeniowy, praktyczny), praca w grupach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(rozwiązywanie zadań, dyskusja),gry dydaktyczne, metody kształcenia na odległość 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 xml:space="preserve">Laboratorium: wykonywanie doświadczeń, projektowanie doświadczeń  </w:t>
      </w:r>
    </w:p>
    <w:p w:rsidR="007440A6" w:rsidRDefault="005C323F">
      <w:pPr>
        <w:spacing w:after="32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Wykład: wykład problemowy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27" w:line="240" w:lineRule="auto"/>
        <w:ind w:left="-5" w:hanging="10"/>
      </w:pPr>
      <w:r>
        <w:rPr>
          <w:rFonts w:ascii="Corbel" w:eastAsia="Corbel" w:hAnsi="Corbel" w:cs="Corbel"/>
          <w:i/>
          <w:sz w:val="20"/>
        </w:rPr>
        <w:t>Ćwiczenia: analiza tekstów z dyskusją, esej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40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4. METODY I KRYTERIA OCENY 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4.1 Sposoby weryfikacji efektów uczenia się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63"/>
        <w:gridCol w:w="5442"/>
        <w:gridCol w:w="2117"/>
      </w:tblGrid>
      <w:tr w:rsidR="007440A6">
        <w:trPr>
          <w:trHeight w:val="888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uczenia się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7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_02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3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_03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egzamin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wykład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_04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2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_05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obserwacja w trakcie zajęć, esej, 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  <w:tr w:rsidR="007440A6">
        <w:trPr>
          <w:trHeight w:val="305"/>
        </w:trPr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 xml:space="preserve">_06 </w:t>
            </w:r>
          </w:p>
        </w:tc>
        <w:tc>
          <w:tcPr>
            <w:tcW w:w="5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>obserwacja w trakcie zajęć, esej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ćwiczenia </w:t>
            </w:r>
          </w:p>
        </w:tc>
      </w:tr>
    </w:tbl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2"/>
      </w:pPr>
      <w:r>
        <w:t xml:space="preserve">4.2 Warunki zaliczenia przedmiotu (kryteria oceniania)  </w:t>
      </w:r>
    </w:p>
    <w:p w:rsidR="007440A6" w:rsidRDefault="005C323F">
      <w:pPr>
        <w:spacing w:after="28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Wykład: egzamin 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2" w:line="244" w:lineRule="auto"/>
        <w:ind w:left="234" w:right="-15" w:hanging="10"/>
      </w:pPr>
      <w:r>
        <w:rPr>
          <w:rFonts w:ascii="Corbel" w:eastAsia="Corbel" w:hAnsi="Corbel" w:cs="Corbel"/>
          <w:sz w:val="24"/>
        </w:rPr>
        <w:t xml:space="preserve">Ćwiczenia: aktywny udział w zajęciach, esej </w:t>
      </w:r>
    </w:p>
    <w:p w:rsidR="007440A6" w:rsidRDefault="005C323F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0" w:line="240" w:lineRule="auto"/>
        <w:ind w:left="224" w:right="-15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284" w:hanging="284"/>
      </w:pPr>
      <w:r>
        <w:t xml:space="preserve">5. CAŁKOWITY NAKŁAD PRACY STUDENTA POTRZEBNY DO OSIĄGNIĘCIA ZAŁOŻONYCH EFEKTÓW W GODZINACH ORAZ PUNKTACH ECTS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2" w:type="dxa"/>
        <w:tblInd w:w="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04"/>
        <w:gridCol w:w="4618"/>
      </w:tblGrid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7440A6">
        <w:trPr>
          <w:trHeight w:val="59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 w:right="1312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z harmonogramu studiów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35</w:t>
            </w:r>
          </w:p>
        </w:tc>
      </w:tr>
      <w:tr w:rsidR="007440A6">
        <w:trPr>
          <w:trHeight w:val="598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akademickiego (udział w konsultacjach, egzaminie)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7440A6">
        <w:trPr>
          <w:trHeight w:val="1184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8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55</w:t>
            </w:r>
          </w:p>
        </w:tc>
      </w:tr>
      <w:tr w:rsidR="007440A6">
        <w:trPr>
          <w:trHeight w:val="302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 w:rsidP="00A04D45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>125</w:t>
            </w:r>
          </w:p>
        </w:tc>
      </w:tr>
      <w:tr w:rsidR="007440A6">
        <w:trPr>
          <w:trHeight w:val="305"/>
        </w:trPr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 w:rsidP="00A04D45">
            <w:pPr>
              <w:jc w:val="center"/>
              <w:rPr>
                <w:b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>5</w:t>
            </w:r>
          </w:p>
        </w:tc>
      </w:tr>
    </w:tbl>
    <w:p w:rsidR="007440A6" w:rsidRDefault="005C323F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7440A6" w:rsidRDefault="005C323F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6. PRAKTYKI ZAWODOWE W RAMACH PRZEDMIOTU </w:t>
      </w:r>
    </w:p>
    <w:p w:rsidR="007440A6" w:rsidRDefault="005C323F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5952"/>
      </w:tblGrid>
      <w:tr w:rsidR="007440A6" w:rsidTr="00A04D45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7440A6" w:rsidTr="00A04D45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pStyle w:val="Nagwek1"/>
        <w:ind w:left="10"/>
      </w:pPr>
      <w:r>
        <w:t xml:space="preserve">7. LITERATURA  </w:t>
      </w:r>
    </w:p>
    <w:p w:rsidR="007440A6" w:rsidRDefault="005C323F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497" w:type="dxa"/>
        <w:tblInd w:w="137" w:type="dxa"/>
        <w:tblCellMar>
          <w:top w:w="54" w:type="dxa"/>
          <w:left w:w="110" w:type="dxa"/>
          <w:right w:w="155" w:type="dxa"/>
        </w:tblCellMar>
        <w:tblLook w:val="04A0" w:firstRow="1" w:lastRow="0" w:firstColumn="1" w:lastColumn="0" w:noHBand="0" w:noVBand="1"/>
      </w:tblPr>
      <w:tblGrid>
        <w:gridCol w:w="9497"/>
      </w:tblGrid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A04D45" w:rsidRPr="00A04D45" w:rsidRDefault="00A04D45">
            <w:pPr>
              <w:spacing w:after="38" w:line="240" w:lineRule="auto"/>
              <w:rPr>
                <w:b/>
              </w:rPr>
            </w:pPr>
          </w:p>
          <w:p w:rsidR="007440A6" w:rsidRDefault="005C323F">
            <w:pPr>
              <w:spacing w:after="37" w:line="249" w:lineRule="auto"/>
            </w:pPr>
            <w:r>
              <w:rPr>
                <w:rFonts w:ascii="Corbel" w:eastAsia="Corbel" w:hAnsi="Corbel" w:cs="Corbel"/>
                <w:sz w:val="24"/>
              </w:rPr>
              <w:t xml:space="preserve">Jakubowski M.N., Szachaj A., </w:t>
            </w:r>
            <w:r>
              <w:rPr>
                <w:rFonts w:ascii="Corbel" w:eastAsia="Corbel" w:hAnsi="Corbel" w:cs="Corbel"/>
                <w:i/>
                <w:sz w:val="24"/>
              </w:rPr>
              <w:t>Filozofia polityki</w:t>
            </w:r>
            <w:r>
              <w:rPr>
                <w:rFonts w:ascii="Corbel" w:eastAsia="Corbel" w:hAnsi="Corbel" w:cs="Corbel"/>
                <w:sz w:val="24"/>
              </w:rPr>
              <w:t xml:space="preserve">, PWN, Warszawa 2019. MacIntyre A., </w:t>
            </w:r>
            <w:r>
              <w:rPr>
                <w:rFonts w:ascii="Corbel" w:eastAsia="Corbel" w:hAnsi="Corbel" w:cs="Corbel"/>
                <w:i/>
                <w:sz w:val="24"/>
              </w:rPr>
              <w:t>Krótka historia etyki: filozofia moralności od czasów Homera do XX wieku</w:t>
            </w:r>
            <w:r>
              <w:rPr>
                <w:rFonts w:ascii="Corbel" w:eastAsia="Corbel" w:hAnsi="Corbel" w:cs="Corbel"/>
                <w:sz w:val="24"/>
              </w:rPr>
              <w:t xml:space="preserve">, przeł. A. Chmielewski, PWN, Warszawa 2002. </w:t>
            </w:r>
          </w:p>
          <w:p w:rsidR="007440A6" w:rsidRDefault="005C323F">
            <w:pPr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Zachariasz A.L., </w:t>
            </w:r>
            <w:r>
              <w:rPr>
                <w:rFonts w:ascii="Corbel" w:eastAsia="Corbel" w:hAnsi="Corbel" w:cs="Corbel"/>
                <w:i/>
                <w:sz w:val="24"/>
              </w:rPr>
              <w:t>Filozofia. Jej istota i funkcje</w:t>
            </w:r>
            <w:r>
              <w:rPr>
                <w:rFonts w:ascii="Corbel" w:eastAsia="Corbel" w:hAnsi="Corbel" w:cs="Corbel"/>
                <w:sz w:val="24"/>
              </w:rPr>
              <w:t xml:space="preserve">, wyd. IV, Wyd. UR, Rzeszów 2010. </w:t>
            </w:r>
          </w:p>
        </w:tc>
      </w:tr>
      <w:tr w:rsidR="007440A6" w:rsidTr="00A04D45"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0A6" w:rsidRPr="00A04D45" w:rsidRDefault="005C323F">
            <w:pPr>
              <w:spacing w:after="38" w:line="240" w:lineRule="auto"/>
              <w:rPr>
                <w:rFonts w:ascii="Corbel" w:eastAsia="Corbel" w:hAnsi="Corbel" w:cs="Corbel"/>
                <w:b/>
                <w:sz w:val="24"/>
              </w:rPr>
            </w:pPr>
            <w:r w:rsidRPr="00A04D45">
              <w:rPr>
                <w:rFonts w:ascii="Corbel" w:eastAsia="Corbel" w:hAnsi="Corbel" w:cs="Corbel"/>
                <w:b/>
                <w:sz w:val="24"/>
              </w:rPr>
              <w:lastRenderedPageBreak/>
              <w:t xml:space="preserve">Literatura uzupełniająca:  </w:t>
            </w:r>
          </w:p>
          <w:p w:rsidR="00A04D45" w:rsidRDefault="00A04D45">
            <w:pPr>
              <w:spacing w:after="38" w:line="240" w:lineRule="auto"/>
            </w:pP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Etyka Nikomachejska, </w:t>
            </w:r>
            <w:r>
              <w:rPr>
                <w:rFonts w:ascii="Corbel" w:eastAsia="Corbel" w:hAnsi="Corbel" w:cs="Corbel"/>
                <w:sz w:val="24"/>
              </w:rPr>
              <w:t>tłum., wstęp, komentarz, D. Gromska, Wyd. Naukowe PWN, Warszawa 2012.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Arystoteles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Polityka, przekład i oprac. L. Piotrowicz, </w:t>
            </w:r>
            <w:r>
              <w:rPr>
                <w:rFonts w:ascii="Corbel" w:eastAsia="Corbel" w:hAnsi="Corbel" w:cs="Corbel"/>
                <w:sz w:val="24"/>
              </w:rPr>
              <w:t>Wyd. Altaya &amp; De Agostini, Warszawa 2002.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Augustyn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O Państwie Bożym. Przeciw poganom ksiąg XXII, </w:t>
            </w:r>
            <w:r>
              <w:rPr>
                <w:rFonts w:ascii="Corbel" w:eastAsia="Corbel" w:hAnsi="Corbel" w:cs="Corbel"/>
                <w:sz w:val="24"/>
              </w:rPr>
              <w:t xml:space="preserve">tom 2, Wyd.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Altaya &amp; De Agostini, Warszawa 2003.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Bentham J.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, Wprowadzenie do zasad moralności i prawodawstwa, tłum. B.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i/>
                <w:sz w:val="24"/>
              </w:rPr>
              <w:t xml:space="preserve">Nawroczyński, </w:t>
            </w:r>
            <w:r>
              <w:rPr>
                <w:rFonts w:ascii="Corbel" w:eastAsia="Corbel" w:hAnsi="Corbel" w:cs="Corbel"/>
                <w:sz w:val="24"/>
              </w:rPr>
              <w:t>PWN, Warszawa 1958.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Berlin I.;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Cztery eseje o wolności, </w:t>
            </w:r>
            <w:r>
              <w:rPr>
                <w:rFonts w:ascii="Corbel" w:eastAsia="Corbel" w:hAnsi="Corbel" w:cs="Corbel"/>
                <w:sz w:val="24"/>
              </w:rPr>
              <w:t xml:space="preserve">Warszawa 1994.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Buksiński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Współczesne filozofie polityki, </w:t>
            </w:r>
            <w:r>
              <w:rPr>
                <w:rFonts w:ascii="Corbel" w:eastAsia="Corbel" w:hAnsi="Corbel" w:cs="Corbel"/>
                <w:sz w:val="24"/>
              </w:rPr>
              <w:t>UAM, Poznań 2007.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Cicero M.T.,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państwie; O prawach; O powinnościach; O cnotach, </w:t>
            </w:r>
            <w:r>
              <w:rPr>
                <w:rFonts w:ascii="Corbel" w:eastAsia="Corbel" w:hAnsi="Corbel" w:cs="Corbel"/>
                <w:sz w:val="24"/>
              </w:rPr>
              <w:t xml:space="preserve">PWN, Warszawa 1960.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Clausewitz C. von,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wojnie, </w:t>
            </w:r>
            <w:r>
              <w:rPr>
                <w:rFonts w:ascii="Corbel" w:eastAsia="Corbel" w:hAnsi="Corbel" w:cs="Corbel"/>
                <w:sz w:val="24"/>
              </w:rPr>
              <w:t xml:space="preserve">tłum. A. Cichowicz, L.W. Koc, F. Schoener, Wyd. „Test”, Lublin 1995. </w:t>
            </w:r>
          </w:p>
          <w:p w:rsidR="007440A6" w:rsidRDefault="005C323F">
            <w:pPr>
              <w:spacing w:after="38" w:line="248" w:lineRule="auto"/>
            </w:pPr>
            <w:r>
              <w:rPr>
                <w:rFonts w:ascii="Corbel" w:eastAsia="Corbel" w:hAnsi="Corbel" w:cs="Corbel"/>
                <w:sz w:val="24"/>
              </w:rPr>
              <w:t>Cwynar K.M.,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Filozofia polityki a praktyka polityczna [w:] K.M. Cwynar (red.), Wartości i idee a polityka, </w:t>
            </w:r>
            <w:r>
              <w:rPr>
                <w:rFonts w:ascii="Corbel" w:eastAsia="Corbel" w:hAnsi="Corbel" w:cs="Corbel"/>
                <w:sz w:val="24"/>
              </w:rPr>
              <w:t xml:space="preserve">Wyd. UR, Rzeszów 2016, s. 31–46.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Horkheimer M., Adorno T.W.,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Dialektyka oświecenia, </w:t>
            </w:r>
            <w:r>
              <w:rPr>
                <w:rFonts w:ascii="Corbel" w:eastAsia="Corbel" w:hAnsi="Corbel" w:cs="Corbel"/>
                <w:sz w:val="24"/>
              </w:rPr>
              <w:t xml:space="preserve">tłum. M.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Łukasiewicz,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Warszawa 2010. </w:t>
            </w:r>
          </w:p>
          <w:p w:rsidR="007440A6" w:rsidRDefault="005C323F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>Hobbes T.,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Lewiatan czyli Materia, forma i władza państwa kościelnego i świeckiego, </w:t>
            </w:r>
            <w:r>
              <w:rPr>
                <w:rFonts w:ascii="Corbel" w:eastAsia="Corbel" w:hAnsi="Corbel" w:cs="Corbel"/>
                <w:sz w:val="24"/>
              </w:rPr>
              <w:t xml:space="preserve">przeł. Cz. Znamierowski, PWN, Warszawa 1954. </w:t>
            </w:r>
          </w:p>
          <w:p w:rsidR="007440A6" w:rsidRDefault="005C323F">
            <w:pPr>
              <w:spacing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O wiecznym pokoju, </w:t>
            </w:r>
            <w:r>
              <w:rPr>
                <w:rFonts w:ascii="Corbel" w:eastAsia="Corbel" w:hAnsi="Corbel" w:cs="Corbel"/>
                <w:sz w:val="24"/>
              </w:rPr>
              <w:t xml:space="preserve">przekł. [z niem.] Feliks Przybylak; wstęp i red.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Karol Bal, Wrocław 1992.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>Kant I.,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Uzasadnienie metafizyki moralności, </w:t>
            </w:r>
            <w:r>
              <w:rPr>
                <w:rFonts w:ascii="Corbel" w:eastAsia="Corbel" w:hAnsi="Corbel" w:cs="Corbel"/>
                <w:sz w:val="24"/>
              </w:rPr>
              <w:t xml:space="preserve">przeł. M. Wartenberg, PWN, </w:t>
            </w:r>
          </w:p>
          <w:p w:rsidR="007440A6" w:rsidRDefault="005C323F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Warszawa 1984 </w:t>
            </w:r>
          </w:p>
          <w:p w:rsidR="007440A6" w:rsidRDefault="005C323F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Kołakowski L.,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Główne nurty marksizmu, </w:t>
            </w:r>
            <w:r>
              <w:rPr>
                <w:rFonts w:ascii="Corbel" w:eastAsia="Corbel" w:hAnsi="Corbel" w:cs="Corbel"/>
                <w:sz w:val="24"/>
              </w:rPr>
              <w:t xml:space="preserve">Londyn 1988.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Kymlicka W., Współczesna filozofia polityczna, Aletheia, Warszawa 2017.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Locke J., Dwa traktaty o rządzie, PWN, Warszawa 1992.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Machiavelli N., Książę, przeł. [z wł.] Cz. Nanke; Alfa, Warszawa 1993. Mill J.S., Utylitaryzm. O wolności, przekł. M. Ossowska i A Kurlandzka, PWN, Warszawa 1959.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Nozick R., Anarchia, państwo, utopia, przeł. P. Maciejko i M. Szczubiałka, Aletheia, Warszawa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Platon, Państwo, tłum, wstęp, komentarz W. Witwicki, Wyd. Antyk, Kęty 2003.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Possenti V., Zarys filozofii polityki, Polskie Towarzystwo Tomasza z Akwinu Lublin 2012.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Rawls J., Wykłady z historii filozofii polityki, WAiP, Warszawa 2010.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Rawls J., Teoria sprawiedliwości, przeł.: M. Panufnik, J. Pasek, A.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Romaniuk, PWN, Warszawa 1994.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Rousseau J-J., Umowa społeczna; przeł. [z fr.] oraz wstępem i przypisami opatrzył Antoni Peretiatkowicz, Antyk, Kęty 2002.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Sloterdijk P., Krytyka cynicznego rozumu, przekład i wstęp P. Dehnel, Wyd. Naukowe Dolnośląskiej Szkoły Wyższej, Wrocław 2008. Tomasz z Akwinu, O władzy [w:] tenże, Dzieła wybrane, Wydawnictwo Antyk, Kęty 1999.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lastRenderedPageBreak/>
              <w:t xml:space="preserve">Współczesna filozofia polityki. Wybór tekstów źródłowych, pod red. D.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Pietrzyk-Reeves i B. Szlachty, Wyd. Dante, Kraków 2001.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Kulturozofia, wyd. II, Wyd. UR, Rzeszów 2006.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Filozofia i polityka, czyli o potrzebie aksjologii politycznej [w:] M. Szulakiewicz (red.), Filozofia i polityka w XX wieku, Aureus, Kraków 2001, s. 21–33. </w:t>
            </w:r>
          </w:p>
          <w:p w:rsidR="006D25F9" w:rsidRPr="006D25F9" w:rsidRDefault="006D25F9" w:rsidP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 xml:space="preserve">Zachariasz A.L., Aksjologia polityczna społeczeństw krajów słowiańskich w procesie zmian systemowych a idea rozumu politycznego [w:] A.L. Zachariasz (red.), Narody słowiańskie wobec globalizacji, Wyd. UR, Rzeszów 2003, s. 26–52. </w:t>
            </w:r>
          </w:p>
          <w:p w:rsidR="006D25F9" w:rsidRPr="006D25F9" w:rsidRDefault="006D25F9">
            <w:pPr>
              <w:rPr>
                <w:rFonts w:ascii="Corbel" w:eastAsia="Corbel" w:hAnsi="Corbel" w:cs="Corbel"/>
                <w:sz w:val="24"/>
              </w:rPr>
            </w:pPr>
            <w:r w:rsidRPr="006D25F9">
              <w:rPr>
                <w:rFonts w:ascii="Corbel" w:eastAsia="Corbel" w:hAnsi="Corbel" w:cs="Corbel"/>
                <w:sz w:val="24"/>
              </w:rPr>
              <w:t>Zachariasz A.L., Polityka a moralność. Czy możliwe jest moralne społeczeństwo polityczne [w:] R. Kozłowski, K.M. Cern (red.), Etyka a współczesność, Wyd. Naukowe UAM, Poznań 2007, s. 93–108. Zachariasz A.L., Wartości i interesy a polityka [w:] K.M. Cwynar (red.), Wartości i idee a polityka, Wyd. UR, Rzeszów 2016, s. 13–30.</w:t>
            </w:r>
          </w:p>
        </w:tc>
      </w:tr>
    </w:tbl>
    <w:p w:rsidR="007440A6" w:rsidRDefault="007440A6">
      <w:pPr>
        <w:spacing w:after="38" w:line="240" w:lineRule="auto"/>
        <w:ind w:left="360"/>
      </w:pPr>
    </w:p>
    <w:p w:rsidR="007440A6" w:rsidRDefault="005C323F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7440A6" w:rsidRDefault="005C323F">
      <w:pPr>
        <w:spacing w:after="43" w:line="245" w:lineRule="auto"/>
        <w:ind w:left="370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7440A6" w:rsidRDefault="005C323F">
      <w:pPr>
        <w:spacing w:after="51"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7440A6" w:rsidRDefault="007440A6">
      <w:pPr>
        <w:spacing w:line="240" w:lineRule="auto"/>
        <w:ind w:right="1671"/>
        <w:jc w:val="right"/>
      </w:pPr>
      <w:bookmarkStart w:id="0" w:name="_GoBack"/>
      <w:bookmarkEnd w:id="0"/>
    </w:p>
    <w:sectPr w:rsidR="007440A6">
      <w:footnotePr>
        <w:numRestart w:val="eachPage"/>
      </w:footnotePr>
      <w:pgSz w:w="11906" w:h="16838"/>
      <w:pgMar w:top="1138" w:right="1132" w:bottom="1133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7B46" w:rsidRDefault="00ED7B46">
      <w:pPr>
        <w:spacing w:line="240" w:lineRule="auto"/>
      </w:pPr>
      <w:r>
        <w:separator/>
      </w:r>
    </w:p>
  </w:endnote>
  <w:endnote w:type="continuationSeparator" w:id="0">
    <w:p w:rsidR="00ED7B46" w:rsidRDefault="00ED7B4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7B46" w:rsidRDefault="00ED7B46">
      <w:pPr>
        <w:spacing w:line="271" w:lineRule="auto"/>
      </w:pPr>
      <w:r>
        <w:separator/>
      </w:r>
    </w:p>
  </w:footnote>
  <w:footnote w:type="continuationSeparator" w:id="0">
    <w:p w:rsidR="00ED7B46" w:rsidRDefault="00ED7B46">
      <w:pPr>
        <w:spacing w:line="271" w:lineRule="auto"/>
      </w:pPr>
      <w:r>
        <w:continuationSeparator/>
      </w:r>
    </w:p>
  </w:footnote>
  <w:footnote w:id="1">
    <w:p w:rsidR="007440A6" w:rsidRDefault="005C323F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E47B73"/>
    <w:multiLevelType w:val="hybridMultilevel"/>
    <w:tmpl w:val="6DD03DB6"/>
    <w:lvl w:ilvl="0" w:tplc="EE12BD2A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A2759E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C886C4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DC6C04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6C832DC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F42388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74C442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A56A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9E925C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40A6"/>
    <w:rsid w:val="00461002"/>
    <w:rsid w:val="00505E7D"/>
    <w:rsid w:val="005C323F"/>
    <w:rsid w:val="00643023"/>
    <w:rsid w:val="006D25F9"/>
    <w:rsid w:val="007440A6"/>
    <w:rsid w:val="007A13B5"/>
    <w:rsid w:val="007D7142"/>
    <w:rsid w:val="00A04D45"/>
    <w:rsid w:val="00B57AB2"/>
    <w:rsid w:val="00C23C57"/>
    <w:rsid w:val="00D04D28"/>
    <w:rsid w:val="00DF0C61"/>
    <w:rsid w:val="00EB3EFF"/>
    <w:rsid w:val="00ED7B46"/>
    <w:rsid w:val="00F34FE4"/>
    <w:rsid w:val="00FD3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D4D08BB-2304-4EC3-9017-717BA089C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9" w:line="244" w:lineRule="auto"/>
      <w:ind w:left="423" w:hanging="10"/>
      <w:outlineLvl w:val="0"/>
    </w:pPr>
    <w:rPr>
      <w:rFonts w:ascii="Corbel" w:eastAsia="Corbel" w:hAnsi="Corbel" w:cs="Corbel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39" w:line="244" w:lineRule="auto"/>
      <w:ind w:left="423" w:hanging="10"/>
      <w:outlineLvl w:val="1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71" w:lineRule="auto"/>
    </w:pPr>
    <w:rPr>
      <w:rFonts w:ascii="Calibri" w:eastAsia="Calibri" w:hAnsi="Calibri" w:cs="Calibri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0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1329</Words>
  <Characters>7974</Characters>
  <Application>Microsoft Office Word</Application>
  <DocSecurity>0</DocSecurity>
  <Lines>66</Lines>
  <Paragraphs>18</Paragraphs>
  <ScaleCrop>false</ScaleCrop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dcterms:created xsi:type="dcterms:W3CDTF">2020-10-28T08:35:00Z</dcterms:created>
  <dcterms:modified xsi:type="dcterms:W3CDTF">2021-02-19T08:22:00Z</dcterms:modified>
</cp:coreProperties>
</file>